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75"/>
      </w:tblGrid>
      <w:tr w:rsidR="003B7237" w14:paraId="481FBD85" w14:textId="77777777" w:rsidTr="006B64F8">
        <w:tc>
          <w:tcPr>
            <w:tcW w:w="10075" w:type="dxa"/>
            <w:tcBorders>
              <w:bottom w:val="nil"/>
              <w:right w:val="nil"/>
            </w:tcBorders>
            <w:shd w:val="clear" w:color="auto" w:fill="1B43BD"/>
          </w:tcPr>
          <w:p w14:paraId="4337A0C7" w14:textId="1F253668" w:rsidR="003B7237" w:rsidRPr="00F3163B" w:rsidRDefault="00CC02AB" w:rsidP="000F3A8D">
            <w:pPr>
              <w:spacing w:before="60" w:after="60"/>
              <w:jc w:val="center"/>
              <w:rPr>
                <w:b/>
                <w:bCs/>
                <w:color w:val="FFFFFF" w:themeColor="background1"/>
                <w:sz w:val="28"/>
                <w:szCs w:val="28"/>
              </w:rPr>
            </w:pPr>
            <w:r>
              <w:rPr>
                <w:b/>
                <w:bCs/>
                <w:color w:val="FFFFFF" w:themeColor="background1"/>
                <w:sz w:val="26"/>
                <w:szCs w:val="26"/>
              </w:rPr>
              <w:t>Business Case for Technology Management System</w:t>
            </w:r>
          </w:p>
        </w:tc>
      </w:tr>
      <w:tr w:rsidR="00A90A7C" w14:paraId="06279781" w14:textId="77777777" w:rsidTr="00CF7229">
        <w:tc>
          <w:tcPr>
            <w:tcW w:w="10075" w:type="dxa"/>
            <w:tcBorders>
              <w:top w:val="nil"/>
            </w:tcBorders>
            <w:shd w:val="clear" w:color="auto" w:fill="3A3A3A" w:themeFill="background2" w:themeFillShade="40"/>
          </w:tcPr>
          <w:p w14:paraId="6B2BB0B9" w14:textId="32693FDD"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Executive Summary</w:t>
            </w:r>
          </w:p>
        </w:tc>
      </w:tr>
      <w:tr w:rsidR="00A90A7C" w:rsidRPr="008C4E01" w14:paraId="2555CB4F" w14:textId="77777777" w:rsidTr="00961A72">
        <w:tc>
          <w:tcPr>
            <w:tcW w:w="10075" w:type="dxa"/>
          </w:tcPr>
          <w:p w14:paraId="6A99B230" w14:textId="46B5983F" w:rsidR="00F40017" w:rsidRPr="00F40017" w:rsidRDefault="00F40017" w:rsidP="00A90A7C">
            <w:pPr>
              <w:spacing w:before="60" w:after="60"/>
              <w:rPr>
                <w:sz w:val="20"/>
                <w:szCs w:val="20"/>
              </w:rPr>
            </w:pPr>
            <w:r>
              <w:rPr>
                <w:sz w:val="20"/>
                <w:szCs w:val="20"/>
              </w:rPr>
              <w:t xml:space="preserve">We aim to implement a Technology Management System </w:t>
            </w:r>
            <w:r w:rsidR="003C4FCF">
              <w:rPr>
                <w:sz w:val="20"/>
                <w:szCs w:val="20"/>
              </w:rPr>
              <w:t xml:space="preserve">(TMS) </w:t>
            </w:r>
            <w:r>
              <w:rPr>
                <w:sz w:val="20"/>
                <w:szCs w:val="20"/>
              </w:rPr>
              <w:t xml:space="preserve">to better manage edtech – building awareness with staff, </w:t>
            </w:r>
            <w:r w:rsidR="003C4FCF">
              <w:rPr>
                <w:sz w:val="20"/>
                <w:szCs w:val="20"/>
              </w:rPr>
              <w:t xml:space="preserve">gaining </w:t>
            </w:r>
            <w:r>
              <w:rPr>
                <w:sz w:val="20"/>
                <w:szCs w:val="20"/>
              </w:rPr>
              <w:t>insight into spending and renewals, and automating processes for operational efficiency.</w:t>
            </w:r>
          </w:p>
        </w:tc>
      </w:tr>
      <w:tr w:rsidR="00A90A7C" w:rsidRPr="008C4E01" w14:paraId="683D7F6C" w14:textId="77777777" w:rsidTr="00A90A7C">
        <w:tc>
          <w:tcPr>
            <w:tcW w:w="10075" w:type="dxa"/>
            <w:shd w:val="clear" w:color="auto" w:fill="404040" w:themeFill="text1" w:themeFillTint="BF"/>
          </w:tcPr>
          <w:p w14:paraId="7CF543F8" w14:textId="0D26DE42" w:rsidR="00A90A7C" w:rsidRPr="00F40017" w:rsidRDefault="00A90A7C" w:rsidP="00A90A7C">
            <w:pPr>
              <w:spacing w:before="60" w:after="60"/>
              <w:rPr>
                <w:sz w:val="22"/>
                <w:szCs w:val="22"/>
              </w:rPr>
            </w:pPr>
            <w:r w:rsidRPr="00F40017">
              <w:rPr>
                <w:color w:val="FFFFFF" w:themeColor="background1"/>
                <w:sz w:val="22"/>
                <w:szCs w:val="22"/>
              </w:rPr>
              <w:t>Introduction</w:t>
            </w:r>
          </w:p>
        </w:tc>
      </w:tr>
      <w:tr w:rsidR="00A90A7C" w:rsidRPr="008C4E01" w14:paraId="182120CD" w14:textId="77777777" w:rsidTr="00961A72">
        <w:tc>
          <w:tcPr>
            <w:tcW w:w="10075" w:type="dxa"/>
          </w:tcPr>
          <w:p w14:paraId="456D9605" w14:textId="5C05DC08" w:rsidR="00A90A7C" w:rsidRPr="008C4E01" w:rsidRDefault="003C4FCF" w:rsidP="00A90A7C">
            <w:pPr>
              <w:spacing w:before="60" w:after="60"/>
              <w:rPr>
                <w:sz w:val="20"/>
                <w:szCs w:val="20"/>
              </w:rPr>
            </w:pPr>
            <w:r>
              <w:rPr>
                <w:sz w:val="20"/>
                <w:szCs w:val="20"/>
              </w:rPr>
              <w:t>Current disjointed systems and manual processes lead to siloed communications, missed contracts, redundant technologies, and unnecessary waste of time and limited resources. The TMS aims to address these challenges and maximize our investments in edtech.</w:t>
            </w:r>
          </w:p>
        </w:tc>
      </w:tr>
      <w:tr w:rsidR="00A90A7C" w:rsidRPr="008C4E01" w14:paraId="62A03C2F" w14:textId="77777777" w:rsidTr="00F40017">
        <w:tc>
          <w:tcPr>
            <w:tcW w:w="10075" w:type="dxa"/>
            <w:shd w:val="clear" w:color="auto" w:fill="404040" w:themeFill="text1" w:themeFillTint="BF"/>
          </w:tcPr>
          <w:p w14:paraId="31C16082" w14:textId="3534C97F"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Objectives</w:t>
            </w:r>
          </w:p>
        </w:tc>
      </w:tr>
      <w:tr w:rsidR="00A90A7C" w:rsidRPr="008C4E01" w14:paraId="56CB7A63" w14:textId="77777777" w:rsidTr="00961A72">
        <w:tc>
          <w:tcPr>
            <w:tcW w:w="10075" w:type="dxa"/>
          </w:tcPr>
          <w:p w14:paraId="643816B1" w14:textId="15447DD6" w:rsidR="00A90A7C" w:rsidRDefault="000F3A8D" w:rsidP="00A90A7C">
            <w:pPr>
              <w:spacing w:before="60" w:after="60"/>
              <w:rPr>
                <w:sz w:val="20"/>
                <w:szCs w:val="20"/>
              </w:rPr>
            </w:pPr>
            <w:r>
              <w:rPr>
                <w:sz w:val="20"/>
                <w:szCs w:val="20"/>
              </w:rPr>
              <w:t>I</w:t>
            </w:r>
            <w:r w:rsidR="00B56C90">
              <w:rPr>
                <w:sz w:val="20"/>
                <w:szCs w:val="20"/>
              </w:rPr>
              <w:t>ncrease staff awareness of purchased edtech, enable consistent operational workflows (i.e. technology approval process), and monitor and execute contract renewal decisions in a timely manner</w:t>
            </w:r>
            <w:r>
              <w:rPr>
                <w:sz w:val="20"/>
                <w:szCs w:val="20"/>
              </w:rPr>
              <w:t>, through centralized data access.</w:t>
            </w:r>
          </w:p>
        </w:tc>
      </w:tr>
      <w:tr w:rsidR="00A90A7C" w:rsidRPr="008C4E01" w14:paraId="0CC04EC0" w14:textId="77777777" w:rsidTr="00F40017">
        <w:tc>
          <w:tcPr>
            <w:tcW w:w="10075" w:type="dxa"/>
            <w:shd w:val="clear" w:color="auto" w:fill="404040" w:themeFill="text1" w:themeFillTint="BF"/>
          </w:tcPr>
          <w:p w14:paraId="768FFBEB" w14:textId="25ACAAF2"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Scope &amp; Deliverables</w:t>
            </w:r>
          </w:p>
        </w:tc>
      </w:tr>
      <w:tr w:rsidR="00A90A7C" w:rsidRPr="008C4E01" w14:paraId="2AB5DDE2" w14:textId="77777777" w:rsidTr="00961A72">
        <w:tc>
          <w:tcPr>
            <w:tcW w:w="10075" w:type="dxa"/>
          </w:tcPr>
          <w:p w14:paraId="4FD7F3EE" w14:textId="2F1A8A64" w:rsidR="00A90A7C" w:rsidRDefault="000651E0" w:rsidP="00A90A7C">
            <w:pPr>
              <w:spacing w:before="60" w:after="60"/>
              <w:rPr>
                <w:sz w:val="20"/>
                <w:szCs w:val="20"/>
              </w:rPr>
            </w:pPr>
            <w:r>
              <w:rPr>
                <w:sz w:val="20"/>
                <w:szCs w:val="20"/>
              </w:rPr>
              <w:t>The TMS will include a directory of products across the district and by school/campus</w:t>
            </w:r>
            <w:r w:rsidR="006915F9">
              <w:rPr>
                <w:sz w:val="20"/>
                <w:szCs w:val="20"/>
              </w:rPr>
              <w:t>;</w:t>
            </w:r>
            <w:r>
              <w:rPr>
                <w:sz w:val="20"/>
                <w:szCs w:val="20"/>
              </w:rPr>
              <w:t xml:space="preserve"> a</w:t>
            </w:r>
            <w:r w:rsidR="004C0EF2">
              <w:rPr>
                <w:sz w:val="20"/>
                <w:szCs w:val="20"/>
              </w:rPr>
              <w:t xml:space="preserve"> catalog/library</w:t>
            </w:r>
            <w:r>
              <w:rPr>
                <w:sz w:val="20"/>
                <w:szCs w:val="20"/>
              </w:rPr>
              <w:t xml:space="preserve"> for staff, students, and parents to learn about digital tools available at our district/institution</w:t>
            </w:r>
            <w:r w:rsidR="006915F9">
              <w:rPr>
                <w:sz w:val="20"/>
                <w:szCs w:val="20"/>
              </w:rPr>
              <w:t>;</w:t>
            </w:r>
            <w:r>
              <w:rPr>
                <w:sz w:val="20"/>
                <w:szCs w:val="20"/>
              </w:rPr>
              <w:t xml:space="preserve"> a dashboard that highlights upcoming renewals and breakdown of investment by location and product</w:t>
            </w:r>
            <w:r w:rsidR="006915F9">
              <w:rPr>
                <w:sz w:val="20"/>
                <w:szCs w:val="20"/>
              </w:rPr>
              <w:t>;</w:t>
            </w:r>
            <w:r>
              <w:rPr>
                <w:sz w:val="20"/>
                <w:szCs w:val="20"/>
              </w:rPr>
              <w:t xml:space="preserve"> </w:t>
            </w:r>
            <w:r w:rsidR="004C0EF2">
              <w:rPr>
                <w:sz w:val="20"/>
                <w:szCs w:val="20"/>
              </w:rPr>
              <w:t>a repository of contracts, contract details, and associated vendors</w:t>
            </w:r>
            <w:r w:rsidR="006915F9">
              <w:rPr>
                <w:sz w:val="20"/>
                <w:szCs w:val="20"/>
              </w:rPr>
              <w:t>;</w:t>
            </w:r>
            <w:r w:rsidR="004C0EF2">
              <w:rPr>
                <w:sz w:val="20"/>
                <w:szCs w:val="20"/>
              </w:rPr>
              <w:t xml:space="preserve"> and a </w:t>
            </w:r>
            <w:r w:rsidR="002B45D0">
              <w:rPr>
                <w:sz w:val="20"/>
                <w:szCs w:val="20"/>
              </w:rPr>
              <w:t>fully customizable</w:t>
            </w:r>
            <w:r w:rsidR="004C0EF2">
              <w:rPr>
                <w:sz w:val="20"/>
                <w:szCs w:val="20"/>
              </w:rPr>
              <w:t xml:space="preserve"> request form and workflow builder.</w:t>
            </w:r>
          </w:p>
        </w:tc>
      </w:tr>
      <w:tr w:rsidR="00A90A7C" w:rsidRPr="008C4E01" w14:paraId="10F30E65" w14:textId="77777777" w:rsidTr="00F40017">
        <w:tc>
          <w:tcPr>
            <w:tcW w:w="10075" w:type="dxa"/>
            <w:shd w:val="clear" w:color="auto" w:fill="404040" w:themeFill="text1" w:themeFillTint="BF"/>
          </w:tcPr>
          <w:p w14:paraId="19529A38" w14:textId="1F5D5711"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Benefits</w:t>
            </w:r>
          </w:p>
        </w:tc>
      </w:tr>
      <w:tr w:rsidR="00A90A7C" w:rsidRPr="008C4E01" w14:paraId="43DD9912" w14:textId="77777777" w:rsidTr="00961A72">
        <w:tc>
          <w:tcPr>
            <w:tcW w:w="10075" w:type="dxa"/>
          </w:tcPr>
          <w:p w14:paraId="475C8816" w14:textId="69A5A27F" w:rsidR="00A90A7C" w:rsidRDefault="002B45D0" w:rsidP="00A90A7C">
            <w:pPr>
              <w:spacing w:before="60" w:after="60"/>
              <w:rPr>
                <w:sz w:val="20"/>
                <w:szCs w:val="20"/>
              </w:rPr>
            </w:pPr>
            <w:r>
              <w:rPr>
                <w:sz w:val="20"/>
                <w:szCs w:val="20"/>
              </w:rPr>
              <w:t xml:space="preserve">Centralized data, cross-functional collaboration, consistent and automated processes, transparency, </w:t>
            </w:r>
            <w:r w:rsidR="00D95013">
              <w:rPr>
                <w:sz w:val="20"/>
                <w:szCs w:val="20"/>
              </w:rPr>
              <w:t>incre</w:t>
            </w:r>
            <w:r>
              <w:rPr>
                <w:sz w:val="20"/>
                <w:szCs w:val="20"/>
              </w:rPr>
              <w:t>ased capacity and scalability,</w:t>
            </w:r>
            <w:r w:rsidR="00D95013">
              <w:rPr>
                <w:sz w:val="20"/>
                <w:szCs w:val="20"/>
              </w:rPr>
              <w:t xml:space="preserve"> insight into</w:t>
            </w:r>
            <w:r>
              <w:rPr>
                <w:sz w:val="20"/>
                <w:szCs w:val="20"/>
              </w:rPr>
              <w:t xml:space="preserve"> waste and redundan</w:t>
            </w:r>
            <w:r w:rsidR="00D95013">
              <w:rPr>
                <w:sz w:val="20"/>
                <w:szCs w:val="20"/>
              </w:rPr>
              <w:t>t technologies (</w:t>
            </w:r>
            <w:r>
              <w:rPr>
                <w:sz w:val="20"/>
                <w:szCs w:val="20"/>
              </w:rPr>
              <w:t>potential cost savings</w:t>
            </w:r>
            <w:r w:rsidR="00D95013">
              <w:rPr>
                <w:sz w:val="20"/>
                <w:szCs w:val="20"/>
              </w:rPr>
              <w:t>)</w:t>
            </w:r>
          </w:p>
        </w:tc>
      </w:tr>
      <w:tr w:rsidR="00A90A7C" w:rsidRPr="008C4E01" w14:paraId="1195672E" w14:textId="77777777" w:rsidTr="00F40017">
        <w:tc>
          <w:tcPr>
            <w:tcW w:w="10075" w:type="dxa"/>
            <w:shd w:val="clear" w:color="auto" w:fill="404040" w:themeFill="text1" w:themeFillTint="BF"/>
          </w:tcPr>
          <w:p w14:paraId="48AC35B6" w14:textId="46186B7A"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Risks &amp; Challenges</w:t>
            </w:r>
          </w:p>
        </w:tc>
      </w:tr>
      <w:tr w:rsidR="00A90A7C" w:rsidRPr="008C4E01" w14:paraId="59848937" w14:textId="77777777" w:rsidTr="00961A72">
        <w:tc>
          <w:tcPr>
            <w:tcW w:w="10075" w:type="dxa"/>
          </w:tcPr>
          <w:p w14:paraId="4D51E329" w14:textId="22B031D0" w:rsidR="00A90A7C" w:rsidRDefault="00C5750C" w:rsidP="00A90A7C">
            <w:pPr>
              <w:spacing w:before="60" w:after="60"/>
              <w:rPr>
                <w:sz w:val="20"/>
                <w:szCs w:val="20"/>
              </w:rPr>
            </w:pPr>
            <w:r>
              <w:rPr>
                <w:sz w:val="20"/>
                <w:szCs w:val="20"/>
              </w:rPr>
              <w:t>Possible stakeholder resistance, resource constraints (time needed to collect disparate data and build into TMS)</w:t>
            </w:r>
          </w:p>
        </w:tc>
      </w:tr>
      <w:tr w:rsidR="00A90A7C" w:rsidRPr="008C4E01" w14:paraId="4533DCFE" w14:textId="77777777" w:rsidTr="00F40017">
        <w:tc>
          <w:tcPr>
            <w:tcW w:w="10075" w:type="dxa"/>
            <w:shd w:val="clear" w:color="auto" w:fill="404040" w:themeFill="text1" w:themeFillTint="BF"/>
          </w:tcPr>
          <w:p w14:paraId="6C88550E" w14:textId="7C828A27"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Cost-Benefit Analysis</w:t>
            </w:r>
          </w:p>
        </w:tc>
      </w:tr>
      <w:tr w:rsidR="00A90A7C" w:rsidRPr="008C4E01" w14:paraId="052A6FEB" w14:textId="77777777" w:rsidTr="00961A72">
        <w:tc>
          <w:tcPr>
            <w:tcW w:w="10075" w:type="dxa"/>
          </w:tcPr>
          <w:p w14:paraId="4D16F7BA" w14:textId="3863C92F" w:rsidR="00A90A7C" w:rsidRDefault="006915F9" w:rsidP="00A90A7C">
            <w:pPr>
              <w:spacing w:before="60" w:after="60"/>
              <w:rPr>
                <w:sz w:val="20"/>
                <w:szCs w:val="20"/>
              </w:rPr>
            </w:pPr>
            <w:r>
              <w:rPr>
                <w:sz w:val="20"/>
                <w:szCs w:val="20"/>
              </w:rPr>
              <w:t>Annual software subscription is $__________; projected annual savings from increased productivity, greater adoption of current investments, informed contract renewals and negotiations, and redundancy audit is $_________</w:t>
            </w:r>
          </w:p>
        </w:tc>
      </w:tr>
      <w:tr w:rsidR="00A90A7C" w:rsidRPr="008C4E01" w14:paraId="339BBD7C" w14:textId="77777777" w:rsidTr="00F40017">
        <w:tc>
          <w:tcPr>
            <w:tcW w:w="10075" w:type="dxa"/>
            <w:shd w:val="clear" w:color="auto" w:fill="404040" w:themeFill="text1" w:themeFillTint="BF"/>
          </w:tcPr>
          <w:p w14:paraId="4AF1A6E0" w14:textId="41F2455F"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Resource Requirements</w:t>
            </w:r>
          </w:p>
        </w:tc>
      </w:tr>
      <w:tr w:rsidR="00A90A7C" w:rsidRPr="008C4E01" w14:paraId="793DAD61" w14:textId="77777777" w:rsidTr="00961A72">
        <w:tc>
          <w:tcPr>
            <w:tcW w:w="10075" w:type="dxa"/>
          </w:tcPr>
          <w:p w14:paraId="238D27D4" w14:textId="55EA00B2" w:rsidR="00A90A7C" w:rsidRDefault="006915F9" w:rsidP="00A90A7C">
            <w:pPr>
              <w:spacing w:before="60" w:after="60"/>
              <w:rPr>
                <w:sz w:val="20"/>
                <w:szCs w:val="20"/>
              </w:rPr>
            </w:pPr>
            <w:r>
              <w:rPr>
                <w:sz w:val="20"/>
                <w:szCs w:val="20"/>
              </w:rPr>
              <w:t>The TMS project will require a champion/project manager, technology lead, instructional lead, and a business/ finance associate (for contract access and/or input).</w:t>
            </w:r>
            <w:r w:rsidR="005262BD">
              <w:rPr>
                <w:sz w:val="20"/>
                <w:szCs w:val="20"/>
              </w:rPr>
              <w:t xml:space="preserve"> No additional budget needed outside of annual subscription. One thirty-minute implementation kick off call. One thirty-minute systems integrations call. One thirty-minute training/system review for administrative staff. System build time to be determined.</w:t>
            </w:r>
          </w:p>
        </w:tc>
      </w:tr>
      <w:tr w:rsidR="00A90A7C" w:rsidRPr="008C4E01" w14:paraId="3854F792" w14:textId="77777777" w:rsidTr="00F40017">
        <w:tc>
          <w:tcPr>
            <w:tcW w:w="10075" w:type="dxa"/>
            <w:shd w:val="clear" w:color="auto" w:fill="404040" w:themeFill="text1" w:themeFillTint="BF"/>
          </w:tcPr>
          <w:p w14:paraId="563E8A85" w14:textId="5FC8EFA8"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Timeline &amp; Milestones</w:t>
            </w:r>
          </w:p>
        </w:tc>
      </w:tr>
      <w:tr w:rsidR="00A90A7C" w:rsidRPr="008C4E01" w14:paraId="19187C6A" w14:textId="77777777" w:rsidTr="00961A72">
        <w:tc>
          <w:tcPr>
            <w:tcW w:w="10075" w:type="dxa"/>
          </w:tcPr>
          <w:p w14:paraId="7DED7117" w14:textId="2A62E1DE" w:rsidR="00A90A7C" w:rsidRDefault="005262BD" w:rsidP="00A90A7C">
            <w:pPr>
              <w:spacing w:before="60" w:after="60"/>
              <w:rPr>
                <w:sz w:val="20"/>
                <w:szCs w:val="20"/>
              </w:rPr>
            </w:pPr>
            <w:r>
              <w:rPr>
                <w:sz w:val="20"/>
                <w:szCs w:val="20"/>
              </w:rPr>
              <w:t>Phase 1 – Product Directories and Catalog build, customization, and training</w:t>
            </w:r>
            <w:r w:rsidR="007A7FF7">
              <w:rPr>
                <w:sz w:val="20"/>
                <w:szCs w:val="20"/>
              </w:rPr>
              <w:t xml:space="preserve"> (Week 1-3)</w:t>
            </w:r>
            <w:r>
              <w:rPr>
                <w:sz w:val="20"/>
                <w:szCs w:val="20"/>
              </w:rPr>
              <w:t xml:space="preserve">; Phase 2 </w:t>
            </w:r>
            <w:r w:rsidR="007A7FF7">
              <w:rPr>
                <w:sz w:val="20"/>
                <w:szCs w:val="20"/>
              </w:rPr>
              <w:t>–</w:t>
            </w:r>
            <w:r>
              <w:rPr>
                <w:sz w:val="20"/>
                <w:szCs w:val="20"/>
              </w:rPr>
              <w:t xml:space="preserve"> Contract</w:t>
            </w:r>
            <w:r w:rsidR="007A7FF7">
              <w:rPr>
                <w:sz w:val="20"/>
                <w:szCs w:val="20"/>
              </w:rPr>
              <w:t xml:space="preserve"> input (Week 4-6); Phase 3 - Product Profile build (can happen simultaneously with Phase 2); Phase 4 – Forms and Workflows build (can happen simultaneously with Phase 2 and 3); Phase 5 – Rollout to staff (at team’s discretion)</w:t>
            </w:r>
          </w:p>
        </w:tc>
      </w:tr>
      <w:tr w:rsidR="00A90A7C" w:rsidRPr="008C4E01" w14:paraId="31EDB2C5" w14:textId="77777777" w:rsidTr="00F40017">
        <w:tc>
          <w:tcPr>
            <w:tcW w:w="10075" w:type="dxa"/>
            <w:shd w:val="clear" w:color="auto" w:fill="404040" w:themeFill="text1" w:themeFillTint="BF"/>
          </w:tcPr>
          <w:p w14:paraId="7F63C79C" w14:textId="40838170" w:rsidR="00A90A7C" w:rsidRPr="00F40017" w:rsidRDefault="00A90A7C" w:rsidP="00A90A7C">
            <w:pPr>
              <w:spacing w:before="60" w:after="60"/>
              <w:rPr>
                <w:color w:val="FFFFFF" w:themeColor="background1"/>
                <w:sz w:val="22"/>
                <w:szCs w:val="22"/>
              </w:rPr>
            </w:pPr>
            <w:r w:rsidRPr="00F40017">
              <w:rPr>
                <w:color w:val="FFFFFF" w:themeColor="background1"/>
                <w:sz w:val="22"/>
                <w:szCs w:val="22"/>
              </w:rPr>
              <w:t>Recommendation &amp; Conclusion</w:t>
            </w:r>
          </w:p>
        </w:tc>
      </w:tr>
      <w:tr w:rsidR="00A90A7C" w:rsidRPr="008C4E01" w14:paraId="456BD385" w14:textId="77777777" w:rsidTr="00961A72">
        <w:tc>
          <w:tcPr>
            <w:tcW w:w="10075" w:type="dxa"/>
          </w:tcPr>
          <w:p w14:paraId="3EC5CD90" w14:textId="42BB996E" w:rsidR="00A90A7C" w:rsidRDefault="007A7FF7" w:rsidP="00A90A7C">
            <w:pPr>
              <w:spacing w:before="60" w:after="60"/>
              <w:rPr>
                <w:sz w:val="20"/>
                <w:szCs w:val="20"/>
              </w:rPr>
            </w:pPr>
            <w:r>
              <w:rPr>
                <w:sz w:val="20"/>
                <w:szCs w:val="20"/>
              </w:rPr>
              <w:t xml:space="preserve">The TMS presents a clear opportunity to centralize our data and improve collaboration, breaking down silos and current communication barriers for every stakeholder. Not only will the system enhance operations and productivity but provide cost-savings in our current technology portfolio and in the future. The costs associated with not moving forward (risk, inefficiencies, overspending/waste, and turnover) far outweigh the investment. </w:t>
            </w:r>
          </w:p>
        </w:tc>
      </w:tr>
    </w:tbl>
    <w:p w14:paraId="072DE810" w14:textId="0D67DD5B" w:rsidR="008C4E01" w:rsidRPr="008C4E01" w:rsidRDefault="008C4E01" w:rsidP="000F3A8D">
      <w:pPr>
        <w:rPr>
          <w:sz w:val="20"/>
          <w:szCs w:val="20"/>
        </w:rPr>
      </w:pPr>
    </w:p>
    <w:sectPr w:rsidR="008C4E01" w:rsidRPr="008C4E01" w:rsidSect="008E0456">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B72E" w14:textId="77777777" w:rsidR="003E548D" w:rsidRDefault="003E548D" w:rsidP="008E0456">
      <w:pPr>
        <w:spacing w:after="0" w:line="240" w:lineRule="auto"/>
      </w:pPr>
      <w:r>
        <w:separator/>
      </w:r>
    </w:p>
  </w:endnote>
  <w:endnote w:type="continuationSeparator" w:id="0">
    <w:p w14:paraId="661A0761" w14:textId="77777777" w:rsidR="003E548D" w:rsidRDefault="003E548D" w:rsidP="008E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E3F57" w14:textId="77777777" w:rsidR="003E548D" w:rsidRDefault="003E548D" w:rsidP="008E0456">
      <w:pPr>
        <w:spacing w:after="0" w:line="240" w:lineRule="auto"/>
      </w:pPr>
      <w:r>
        <w:separator/>
      </w:r>
    </w:p>
  </w:footnote>
  <w:footnote w:type="continuationSeparator" w:id="0">
    <w:p w14:paraId="4ADACDD8" w14:textId="77777777" w:rsidR="003E548D" w:rsidRDefault="003E548D" w:rsidP="008E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66D1" w14:textId="63C28BF9" w:rsidR="007A7FF7" w:rsidRDefault="007A7FF7">
    <w:pPr>
      <w:pStyle w:val="Header"/>
    </w:pPr>
    <w:r>
      <w:rPr>
        <w:noProof/>
      </w:rPr>
      <w:drawing>
        <wp:inline distT="0" distB="0" distL="0" distR="0" wp14:anchorId="3980B1C3" wp14:editId="3C084EC4">
          <wp:extent cx="1710813" cy="457200"/>
          <wp:effectExtent l="0" t="0" r="3810" b="0"/>
          <wp:docPr id="128417718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7718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0813" cy="457200"/>
                  </a:xfrm>
                  <a:prstGeom prst="rect">
                    <a:avLst/>
                  </a:prstGeom>
                </pic:spPr>
              </pic:pic>
            </a:graphicData>
          </a:graphic>
        </wp:inline>
      </w:drawing>
    </w:r>
  </w:p>
  <w:p w14:paraId="51B7205D" w14:textId="77777777" w:rsidR="008E0456" w:rsidRDefault="008E0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93E1A"/>
    <w:multiLevelType w:val="hybridMultilevel"/>
    <w:tmpl w:val="CAA6C3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629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7B"/>
    <w:rsid w:val="00010C5D"/>
    <w:rsid w:val="000651E0"/>
    <w:rsid w:val="000F3A8D"/>
    <w:rsid w:val="00102299"/>
    <w:rsid w:val="00180D1D"/>
    <w:rsid w:val="0022687B"/>
    <w:rsid w:val="002B45D0"/>
    <w:rsid w:val="0039398D"/>
    <w:rsid w:val="003B7237"/>
    <w:rsid w:val="003C4FCF"/>
    <w:rsid w:val="003E548D"/>
    <w:rsid w:val="004C0EF2"/>
    <w:rsid w:val="005262BD"/>
    <w:rsid w:val="005E46B4"/>
    <w:rsid w:val="00680A3E"/>
    <w:rsid w:val="006915F9"/>
    <w:rsid w:val="006C71C2"/>
    <w:rsid w:val="007A7FF7"/>
    <w:rsid w:val="008A6210"/>
    <w:rsid w:val="008B0679"/>
    <w:rsid w:val="008C4E01"/>
    <w:rsid w:val="008E0456"/>
    <w:rsid w:val="00A90A7C"/>
    <w:rsid w:val="00B109FF"/>
    <w:rsid w:val="00B56C90"/>
    <w:rsid w:val="00B82B7B"/>
    <w:rsid w:val="00C14E6B"/>
    <w:rsid w:val="00C5750C"/>
    <w:rsid w:val="00CC02AB"/>
    <w:rsid w:val="00D95013"/>
    <w:rsid w:val="00DC0579"/>
    <w:rsid w:val="00E65628"/>
    <w:rsid w:val="00E9283D"/>
    <w:rsid w:val="00F3163B"/>
    <w:rsid w:val="00F371F7"/>
    <w:rsid w:val="00F4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2DF7"/>
  <w15:chartTrackingRefBased/>
  <w15:docId w15:val="{49A27F68-AF87-4DDA-8496-6D0917AA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87B"/>
    <w:rPr>
      <w:rFonts w:eastAsiaTheme="majorEastAsia" w:cstheme="majorBidi"/>
      <w:color w:val="272727" w:themeColor="text1" w:themeTint="D8"/>
    </w:rPr>
  </w:style>
  <w:style w:type="paragraph" w:styleId="Title">
    <w:name w:val="Title"/>
    <w:basedOn w:val="Normal"/>
    <w:next w:val="Normal"/>
    <w:link w:val="TitleChar"/>
    <w:uiPriority w:val="10"/>
    <w:qFormat/>
    <w:rsid w:val="00226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87B"/>
    <w:pPr>
      <w:spacing w:before="160"/>
      <w:jc w:val="center"/>
    </w:pPr>
    <w:rPr>
      <w:i/>
      <w:iCs/>
      <w:color w:val="404040" w:themeColor="text1" w:themeTint="BF"/>
    </w:rPr>
  </w:style>
  <w:style w:type="character" w:customStyle="1" w:styleId="QuoteChar">
    <w:name w:val="Quote Char"/>
    <w:basedOn w:val="DefaultParagraphFont"/>
    <w:link w:val="Quote"/>
    <w:uiPriority w:val="29"/>
    <w:rsid w:val="0022687B"/>
    <w:rPr>
      <w:i/>
      <w:iCs/>
      <w:color w:val="404040" w:themeColor="text1" w:themeTint="BF"/>
    </w:rPr>
  </w:style>
  <w:style w:type="paragraph" w:styleId="ListParagraph">
    <w:name w:val="List Paragraph"/>
    <w:basedOn w:val="Normal"/>
    <w:uiPriority w:val="34"/>
    <w:qFormat/>
    <w:rsid w:val="0022687B"/>
    <w:pPr>
      <w:ind w:left="720"/>
      <w:contextualSpacing/>
    </w:pPr>
  </w:style>
  <w:style w:type="character" w:styleId="IntenseEmphasis">
    <w:name w:val="Intense Emphasis"/>
    <w:basedOn w:val="DefaultParagraphFont"/>
    <w:uiPriority w:val="21"/>
    <w:qFormat/>
    <w:rsid w:val="0022687B"/>
    <w:rPr>
      <w:i/>
      <w:iCs/>
      <w:color w:val="0F4761" w:themeColor="accent1" w:themeShade="BF"/>
    </w:rPr>
  </w:style>
  <w:style w:type="paragraph" w:styleId="IntenseQuote">
    <w:name w:val="Intense Quote"/>
    <w:basedOn w:val="Normal"/>
    <w:next w:val="Normal"/>
    <w:link w:val="IntenseQuoteChar"/>
    <w:uiPriority w:val="30"/>
    <w:qFormat/>
    <w:rsid w:val="00226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87B"/>
    <w:rPr>
      <w:i/>
      <w:iCs/>
      <w:color w:val="0F4761" w:themeColor="accent1" w:themeShade="BF"/>
    </w:rPr>
  </w:style>
  <w:style w:type="character" w:styleId="IntenseReference">
    <w:name w:val="Intense Reference"/>
    <w:basedOn w:val="DefaultParagraphFont"/>
    <w:uiPriority w:val="32"/>
    <w:qFormat/>
    <w:rsid w:val="0022687B"/>
    <w:rPr>
      <w:b/>
      <w:bCs/>
      <w:smallCaps/>
      <w:color w:val="0F4761" w:themeColor="accent1" w:themeShade="BF"/>
      <w:spacing w:val="5"/>
    </w:rPr>
  </w:style>
  <w:style w:type="table" w:styleId="TableGrid">
    <w:name w:val="Table Grid"/>
    <w:basedOn w:val="TableNormal"/>
    <w:uiPriority w:val="39"/>
    <w:rsid w:val="008C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456"/>
  </w:style>
  <w:style w:type="paragraph" w:styleId="Footer">
    <w:name w:val="footer"/>
    <w:basedOn w:val="Normal"/>
    <w:link w:val="FooterChar"/>
    <w:uiPriority w:val="99"/>
    <w:unhideWhenUsed/>
    <w:rsid w:val="008E0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5450-5AEF-4E3F-A453-77E66D5B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Robertson</dc:creator>
  <cp:keywords/>
  <dc:description/>
  <cp:lastModifiedBy>Amy Robertson</cp:lastModifiedBy>
  <cp:revision>2</cp:revision>
  <cp:lastPrinted>2024-05-16T13:09:00Z</cp:lastPrinted>
  <dcterms:created xsi:type="dcterms:W3CDTF">2024-05-20T18:18:00Z</dcterms:created>
  <dcterms:modified xsi:type="dcterms:W3CDTF">2024-05-20T18:18:00Z</dcterms:modified>
</cp:coreProperties>
</file>